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eindreschen</o:Title>
    <o:Author>Netzverb &lt;info@netzverb.de&gt;</o:Author>
    <o:Subject>
			Odmiana niemieckiego czasownika eindreschen (atakować, zaatakować):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eindreschen</w:t>
        <w:t xml:space="preserve"> · </w:t>
        <w:t>strona bierna statyczna</w:t>
        <w:br/>
      </w:r>
      <w:r>
        <w:rPr>
          <w:sz w:val="16"/>
          <w:color w:val="999999"/>
        </w:rPr>
        <w:t>https://pl.verbformen.net/conjugation/eindreschen.htm</w:t>
      </w:r>
    </w:p>
    <!-- EIGENSCHAFTEN -->
    <w:p>
      <w:r>
        <w:rPr>
          <w:color w:val="999999"/>
        </w:rPr>
        <w:t>
					nieregularny</w:t>
        <w:t xml:space="preserve"> · </w:t>
        <w:t>
					haben</w:t>
        <w:t xml:space="preserve"> · </w:t>
        <w:t>
						rozdzielny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Złączenie s- i rozszerzenie e- « </w:t>
        <w:t xml:space="preserve">» Zmiana samogłoski rdzenia</w:t>
        <w:t xml:space="preserve"> e - a</w:t>
        <w:t>/o</w:t>
        <w:t xml:space="preserve"> - o « </w:t>
        <w:t xml:space="preserve">» Zmiana e/i w czasie teraźniejszym i trybie rozkazującym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